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3662E7" w:rsidP="00C62880">
      <w:pPr>
        <w:jc w:val="center"/>
        <w:rPr>
          <w:b/>
          <w:sz w:val="28"/>
        </w:rPr>
      </w:pPr>
      <w:r w:rsidRPr="003662E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3662E7" w:rsidP="00C62880">
      <w:pPr>
        <w:spacing w:line="360" w:lineRule="auto"/>
        <w:jc w:val="center"/>
        <w:rPr>
          <w:b/>
          <w:sz w:val="24"/>
        </w:rPr>
      </w:pPr>
      <w:r w:rsidRPr="003662E7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12.45pt;width:269.6pt;height:34.6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3662E7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64208F">
      <w:pPr>
        <w:jc w:val="both"/>
        <w:rPr>
          <w:b/>
          <w:sz w:val="24"/>
        </w:rPr>
      </w:pP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b/>
        </w:rPr>
        <w:t>ПОЛУФАБРИ</w:t>
      </w:r>
      <w:r w:rsidR="00AE7ED0">
        <w:rPr>
          <w:b/>
        </w:rPr>
        <w:t xml:space="preserve">КАТ ГЛАЗУРЬ КОНДИТЕРСКАЯ </w:t>
      </w:r>
      <w:r w:rsidR="00E86320">
        <w:rPr>
          <w:b/>
        </w:rPr>
        <w:t>ЦВЕТНАЯ, ЦВЕТНАЯ СО ВКУСОМ</w:t>
      </w:r>
      <w:r w:rsidR="0094561B">
        <w:rPr>
          <w:b/>
        </w:rPr>
        <w:t xml:space="preserve"> (СОЛОМКА</w:t>
      </w:r>
      <w:r w:rsidR="00A83843">
        <w:rPr>
          <w:b/>
        </w:rPr>
        <w:t xml:space="preserve"> ЯБЛОКО</w:t>
      </w:r>
      <w:r w:rsidR="0094561B">
        <w:rPr>
          <w:b/>
        </w:rPr>
        <w:t>)</w:t>
      </w:r>
      <w:r w:rsidR="00E86320">
        <w:rPr>
          <w:b/>
        </w:rPr>
        <w:t>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AE7ED0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AE49B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>
        <w:rPr>
          <w:sz w:val="21"/>
          <w:szCs w:val="21"/>
        </w:rPr>
        <w:t xml:space="preserve"> °</w:t>
      </w:r>
      <w:r w:rsidR="00A83843">
        <w:rPr>
          <w:sz w:val="21"/>
          <w:szCs w:val="21"/>
        </w:rPr>
        <w:t xml:space="preserve"> 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1E1459" w:rsidRPr="00E50E76" w:rsidRDefault="001E1459" w:rsidP="0064208F">
      <w:pPr>
        <w:pStyle w:val="3"/>
        <w:spacing w:line="240" w:lineRule="auto"/>
        <w:jc w:val="both"/>
        <w:rPr>
          <w:i/>
          <w:sz w:val="20"/>
        </w:rPr>
      </w:pPr>
      <w:r w:rsidRPr="00E50E76">
        <w:rPr>
          <w:i/>
          <w:sz w:val="20"/>
        </w:rPr>
        <w:t>Соломка  характеризуется высокими органолептическими показателями: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цвет соответств</w:t>
      </w:r>
      <w:r w:rsidR="00E86320">
        <w:t>ует используемому красителю.</w:t>
      </w:r>
    </w:p>
    <w:p w:rsidR="001E1459" w:rsidRPr="00E50E76" w:rsidRDefault="00AE49BD" w:rsidP="0064208F">
      <w:pPr>
        <w:jc w:val="both"/>
      </w:pPr>
      <w:r>
        <w:rPr>
          <w:b/>
        </w:rPr>
        <w:t>Форма</w:t>
      </w:r>
      <w:r w:rsidR="001E1459" w:rsidRPr="00E50E76">
        <w:t>:</w:t>
      </w:r>
      <w:r w:rsidR="00E02F58">
        <w:t xml:space="preserve"> </w:t>
      </w:r>
      <w:r w:rsidR="001E1459" w:rsidRPr="00E50E76">
        <w:t>соломка</w:t>
      </w:r>
      <w:r w:rsidR="00E02F58">
        <w:t xml:space="preserve"> </w:t>
      </w:r>
      <w:r w:rsidR="001E1459" w:rsidRPr="00E50E76">
        <w:t xml:space="preserve">представляет </w:t>
      </w:r>
      <w:r w:rsidR="00AE7ED0">
        <w:t>собой полоску  кондитерской глазури</w:t>
      </w:r>
      <w:r w:rsidR="001E1459" w:rsidRPr="00E50E76">
        <w:t xml:space="preserve"> с геометрическими параметрами: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длина – от 5мм до 15мм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ширина – от 1мм до 2мм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толщина – от 0,4 мм до 1мм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64208F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Жиры – 34,5 г</w:t>
      </w:r>
    </w:p>
    <w:p w:rsidR="00EB678E" w:rsidRPr="00EB678E" w:rsidRDefault="00203DCE" w:rsidP="0064208F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F40705" w:rsidRDefault="00F40705" w:rsidP="0064208F">
      <w:pPr>
        <w:jc w:val="both"/>
        <w:rPr>
          <w:b/>
        </w:rPr>
      </w:pPr>
    </w:p>
    <w:p w:rsidR="0064208F" w:rsidRPr="0064208F" w:rsidRDefault="0064208F" w:rsidP="0064208F">
      <w:pPr>
        <w:jc w:val="both"/>
        <w:rPr>
          <w:b/>
        </w:rPr>
      </w:pPr>
      <w:r w:rsidRPr="00D24195">
        <w:rPr>
          <w:b/>
        </w:rPr>
        <w:t>Состав:</w:t>
      </w:r>
      <w:r w:rsidR="00A83843">
        <w:rPr>
          <w:b/>
        </w:rPr>
        <w:t xml:space="preserve"> </w:t>
      </w:r>
      <w:r>
        <w:rPr>
          <w:sz w:val="22"/>
          <w:szCs w:val="22"/>
        </w:rPr>
        <w:t xml:space="preserve">сахар-песок, заменитель какао масла </w:t>
      </w:r>
      <w:proofErr w:type="spellStart"/>
      <w:r w:rsidR="0026239D">
        <w:rPr>
          <w:sz w:val="22"/>
          <w:szCs w:val="22"/>
        </w:rPr>
        <w:t>лауриновый</w:t>
      </w:r>
      <w:proofErr w:type="spellEnd"/>
      <w:r w:rsidR="0026239D">
        <w:rPr>
          <w:sz w:val="22"/>
          <w:szCs w:val="22"/>
        </w:rPr>
        <w:t>, молоко  сухое обезжиренное,</w:t>
      </w:r>
      <w:r w:rsidR="00A83843">
        <w:rPr>
          <w:sz w:val="22"/>
          <w:szCs w:val="22"/>
        </w:rPr>
        <w:t xml:space="preserve"> </w:t>
      </w:r>
      <w:r w:rsidRPr="00D477F1">
        <w:rPr>
          <w:sz w:val="22"/>
          <w:szCs w:val="22"/>
        </w:rPr>
        <w:t>эмульгаторы</w:t>
      </w:r>
      <w:r>
        <w:rPr>
          <w:sz w:val="22"/>
          <w:szCs w:val="22"/>
        </w:rPr>
        <w:t>: «</w:t>
      </w:r>
      <w:r>
        <w:rPr>
          <w:sz w:val="22"/>
          <w:szCs w:val="22"/>
          <w:lang w:val="en-US"/>
        </w:rPr>
        <w:t>FINAMULVR</w:t>
      </w:r>
      <w:r>
        <w:rPr>
          <w:sz w:val="22"/>
          <w:szCs w:val="22"/>
        </w:rPr>
        <w:t xml:space="preserve"> 48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PGPR</w:t>
      </w:r>
      <w:r>
        <w:rPr>
          <w:sz w:val="22"/>
          <w:szCs w:val="22"/>
        </w:rPr>
        <w:t>)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E</w:t>
      </w:r>
      <w:r w:rsidRPr="00AE7ED0">
        <w:rPr>
          <w:sz w:val="22"/>
          <w:szCs w:val="22"/>
        </w:rPr>
        <w:t>476)</w:t>
      </w:r>
      <w:r>
        <w:rPr>
          <w:sz w:val="22"/>
          <w:szCs w:val="22"/>
        </w:rPr>
        <w:t>, «</w:t>
      </w:r>
      <w:proofErr w:type="spellStart"/>
      <w:r>
        <w:rPr>
          <w:sz w:val="22"/>
          <w:szCs w:val="22"/>
        </w:rPr>
        <w:t>Адлек</w:t>
      </w:r>
      <w:proofErr w:type="spellEnd"/>
      <w:r>
        <w:rPr>
          <w:sz w:val="22"/>
          <w:szCs w:val="22"/>
        </w:rPr>
        <w:t>»</w:t>
      </w:r>
      <w:r w:rsidR="00A83843">
        <w:rPr>
          <w:sz w:val="22"/>
          <w:szCs w:val="22"/>
        </w:rPr>
        <w:t xml:space="preserve"> </w:t>
      </w:r>
      <w:r>
        <w:rPr>
          <w:sz w:val="22"/>
          <w:szCs w:val="22"/>
        </w:rPr>
        <w:t>(Е322),</w:t>
      </w:r>
      <w:r w:rsidR="00A83843">
        <w:rPr>
          <w:sz w:val="22"/>
          <w:szCs w:val="22"/>
        </w:rPr>
        <w:t xml:space="preserve"> </w:t>
      </w:r>
      <w:proofErr w:type="spellStart"/>
      <w:r w:rsidRPr="00E86320">
        <w:rPr>
          <w:sz w:val="23"/>
          <w:szCs w:val="23"/>
        </w:rPr>
        <w:t>ароматизатор</w:t>
      </w:r>
      <w:proofErr w:type="spellEnd"/>
      <w:r w:rsidR="00A83843">
        <w:rPr>
          <w:sz w:val="23"/>
          <w:szCs w:val="23"/>
        </w:rPr>
        <w:t xml:space="preserve"> яблоко</w:t>
      </w:r>
      <w:r w:rsidR="00E02F58">
        <w:rPr>
          <w:sz w:val="23"/>
          <w:szCs w:val="23"/>
        </w:rPr>
        <w:t xml:space="preserve"> (Е1520)</w:t>
      </w:r>
      <w:r w:rsidR="00A83843">
        <w:rPr>
          <w:sz w:val="23"/>
          <w:szCs w:val="23"/>
        </w:rPr>
        <w:t xml:space="preserve">, </w:t>
      </w:r>
      <w:proofErr w:type="gramStart"/>
      <w:r w:rsidRPr="00E86320">
        <w:rPr>
          <w:sz w:val="23"/>
          <w:szCs w:val="23"/>
        </w:rPr>
        <w:t>идентичный</w:t>
      </w:r>
      <w:proofErr w:type="gramEnd"/>
      <w:r w:rsidRPr="00E86320">
        <w:rPr>
          <w:sz w:val="23"/>
          <w:szCs w:val="23"/>
        </w:rPr>
        <w:t xml:space="preserve"> натуральному, красители п</w:t>
      </w:r>
      <w:r>
        <w:rPr>
          <w:sz w:val="23"/>
          <w:szCs w:val="23"/>
        </w:rPr>
        <w:t>ищевые (</w:t>
      </w:r>
      <w:r w:rsidR="00A83843">
        <w:rPr>
          <w:sz w:val="23"/>
          <w:szCs w:val="23"/>
        </w:rPr>
        <w:t>Е102</w:t>
      </w:r>
      <w:r w:rsidRPr="00E86320">
        <w:rPr>
          <w:sz w:val="23"/>
          <w:szCs w:val="23"/>
        </w:rPr>
        <w:t>,Е133).</w:t>
      </w:r>
    </w:p>
    <w:p w:rsidR="00C62880" w:rsidRPr="0064208F" w:rsidRDefault="00C62880" w:rsidP="0064208F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  <w:r w:rsidR="00780606" w:rsidRPr="00C62880">
        <w:rPr>
          <w:sz w:val="21"/>
          <w:szCs w:val="21"/>
        </w:rPr>
        <w:t xml:space="preserve">6 месяцев </w:t>
      </w:r>
      <w:proofErr w:type="gramStart"/>
      <w:r w:rsidR="00780606" w:rsidRPr="00C62880">
        <w:rPr>
          <w:sz w:val="21"/>
          <w:szCs w:val="21"/>
        </w:rPr>
        <w:t>с даты</w:t>
      </w:r>
      <w:r w:rsidR="00A83843">
        <w:rPr>
          <w:sz w:val="21"/>
          <w:szCs w:val="21"/>
        </w:rPr>
        <w:t xml:space="preserve"> </w:t>
      </w:r>
      <w:r w:rsidR="00780606" w:rsidRPr="00C62880">
        <w:rPr>
          <w:sz w:val="21"/>
          <w:szCs w:val="21"/>
        </w:rPr>
        <w:t xml:space="preserve">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4208F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</w:t>
      </w:r>
      <w:r w:rsidR="0026239D">
        <w:rPr>
          <w:sz w:val="22"/>
          <w:szCs w:val="24"/>
        </w:rPr>
        <w:t xml:space="preserve">ртонные короба весом не более 10 </w:t>
      </w:r>
      <w:r w:rsidRPr="00635520">
        <w:rPr>
          <w:sz w:val="22"/>
          <w:szCs w:val="24"/>
        </w:rPr>
        <w:t>кг с полиэтиленовым вкладышем.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A83843">
        <w:rPr>
          <w:b/>
          <w:i/>
        </w:rPr>
        <w:t xml:space="preserve"> </w:t>
      </w:r>
      <w:r w:rsidR="00B15857">
        <w:rPr>
          <w:i/>
        </w:rPr>
        <w:t>соломки</w:t>
      </w:r>
      <w:r w:rsidRPr="00D24195">
        <w:rPr>
          <w:i/>
        </w:rPr>
        <w:t xml:space="preserve"> 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B15857" w:rsidRPr="00AE49BD" w:rsidRDefault="0026239D" w:rsidP="0064208F">
      <w:pPr>
        <w:jc w:val="both"/>
        <w:rPr>
          <w:i/>
          <w:sz w:val="21"/>
          <w:szCs w:val="21"/>
        </w:rPr>
      </w:pPr>
      <w:r>
        <w:rPr>
          <w:b/>
          <w:i/>
        </w:rPr>
        <w:t>п</w:t>
      </w:r>
      <w:r w:rsidR="00AE49BD">
        <w:rPr>
          <w:b/>
          <w:i/>
        </w:rPr>
        <w:t>ри переработке</w:t>
      </w:r>
      <w:r w:rsidR="00A83843">
        <w:rPr>
          <w:b/>
          <w:i/>
        </w:rPr>
        <w:t xml:space="preserve"> </w:t>
      </w:r>
      <w:r w:rsidR="00AE49BD">
        <w:rPr>
          <w:i/>
        </w:rPr>
        <w:t>соломки</w:t>
      </w:r>
      <w:bookmarkStart w:id="0" w:name="_GoBack"/>
      <w:bookmarkEnd w:id="0"/>
    </w:p>
    <w:p w:rsidR="0026239D" w:rsidRDefault="00B15857" w:rsidP="0064208F">
      <w:pPr>
        <w:jc w:val="both"/>
        <w:rPr>
          <w:i/>
        </w:rPr>
      </w:pPr>
      <w:r w:rsidRPr="00D24195">
        <w:rPr>
          <w:i/>
        </w:rPr>
        <w:t>следует соблюдать следующие температурные режимы: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D24195" w:rsidRPr="0026239D" w:rsidRDefault="00D24195" w:rsidP="0064208F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D24195" w:rsidRPr="00D24195" w:rsidRDefault="00D24195" w:rsidP="0064208F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D24195" w:rsidRPr="00D24195" w:rsidRDefault="00D24195" w:rsidP="0064208F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C62880" w:rsidRPr="00C62880" w:rsidRDefault="00C62880" w:rsidP="0064208F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C62880" w:rsidP="0064208F">
      <w:pPr>
        <w:jc w:val="both"/>
        <w:sectPr w:rsidR="00C62880" w:rsidRPr="00D24195" w:rsidSect="0064208F">
          <w:type w:val="continuous"/>
          <w:pgSz w:w="11906" w:h="16838"/>
          <w:pgMar w:top="567" w:right="707" w:bottom="851" w:left="851" w:header="708" w:footer="0" w:gutter="0"/>
          <w:cols w:num="2" w:space="567"/>
          <w:docGrid w:linePitch="360"/>
        </w:sectPr>
      </w:pPr>
      <w:r w:rsidRPr="00D24195">
        <w:t>Возможна корректировка п</w:t>
      </w:r>
      <w:r w:rsidR="0026239D">
        <w:t>оказателей вязкости и текучести</w:t>
      </w:r>
    </w:p>
    <w:p w:rsidR="00C62880" w:rsidRPr="00C62880" w:rsidRDefault="00C62880" w:rsidP="0064208F">
      <w:pPr>
        <w:jc w:val="both"/>
        <w:rPr>
          <w:sz w:val="21"/>
          <w:szCs w:val="21"/>
        </w:rPr>
        <w:sectPr w:rsidR="00C62880" w:rsidRPr="00C62880" w:rsidSect="0026239D">
          <w:type w:val="continuous"/>
          <w:pgSz w:w="11906" w:h="16838" w:code="9"/>
          <w:pgMar w:top="284" w:right="340" w:bottom="284" w:left="1134" w:header="0" w:footer="0" w:gutter="0"/>
          <w:cols w:num="2" w:space="709"/>
          <w:docGrid w:linePitch="360"/>
        </w:sectPr>
      </w:pP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0006B"/>
    <w:rsid w:val="00020082"/>
    <w:rsid w:val="00107897"/>
    <w:rsid w:val="001E0712"/>
    <w:rsid w:val="001E1459"/>
    <w:rsid w:val="00203DCE"/>
    <w:rsid w:val="0026239D"/>
    <w:rsid w:val="002C0DE5"/>
    <w:rsid w:val="002C15E3"/>
    <w:rsid w:val="002D47FF"/>
    <w:rsid w:val="002E6547"/>
    <w:rsid w:val="003662E7"/>
    <w:rsid w:val="003D283D"/>
    <w:rsid w:val="00410331"/>
    <w:rsid w:val="004923C7"/>
    <w:rsid w:val="00511181"/>
    <w:rsid w:val="00580406"/>
    <w:rsid w:val="00635520"/>
    <w:rsid w:val="0064208F"/>
    <w:rsid w:val="00744742"/>
    <w:rsid w:val="00780606"/>
    <w:rsid w:val="0079053B"/>
    <w:rsid w:val="007F3FCA"/>
    <w:rsid w:val="00830038"/>
    <w:rsid w:val="0094561B"/>
    <w:rsid w:val="009F19C9"/>
    <w:rsid w:val="00A17577"/>
    <w:rsid w:val="00A25DD4"/>
    <w:rsid w:val="00A36288"/>
    <w:rsid w:val="00A83843"/>
    <w:rsid w:val="00AE49BD"/>
    <w:rsid w:val="00AE7ED0"/>
    <w:rsid w:val="00B15857"/>
    <w:rsid w:val="00BC1A58"/>
    <w:rsid w:val="00C32895"/>
    <w:rsid w:val="00C62880"/>
    <w:rsid w:val="00D24195"/>
    <w:rsid w:val="00D64D48"/>
    <w:rsid w:val="00E02F58"/>
    <w:rsid w:val="00E50E76"/>
    <w:rsid w:val="00E86320"/>
    <w:rsid w:val="00EB678E"/>
    <w:rsid w:val="00F3146C"/>
    <w:rsid w:val="00F40705"/>
    <w:rsid w:val="00F70EE0"/>
    <w:rsid w:val="00F8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24</cp:revision>
  <dcterms:created xsi:type="dcterms:W3CDTF">2014-07-25T13:03:00Z</dcterms:created>
  <dcterms:modified xsi:type="dcterms:W3CDTF">2015-02-03T09:33:00Z</dcterms:modified>
</cp:coreProperties>
</file>